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800"/>
        <w:rPr>
          <w:rFonts w:eastAsia="方正小标宋简体"/>
          <w:sz w:val="36"/>
          <w:szCs w:val="36"/>
        </w:rPr>
      </w:pPr>
      <w:bookmarkStart w:id="8" w:name="_GoBack"/>
      <w:bookmarkEnd w:id="8"/>
    </w:p>
    <w:p>
      <w:pPr>
        <w:spacing w:beforeLines="50" w:line="5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eastAsia="华文中宋" w:cs="华文中宋"/>
          <w:b/>
          <w:bCs/>
          <w:sz w:val="36"/>
          <w:szCs w:val="36"/>
        </w:rPr>
        <w:t>中国科学院科技促进发展奖管理办法（暂行）</w:t>
      </w:r>
    </w:p>
    <w:p>
      <w:pPr>
        <w:spacing w:beforeLines="50" w:line="5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促字〔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hint="eastAsia" w:ascii="宋体" w:hAnsi="宋体" w:cs="宋体"/>
          <w:sz w:val="28"/>
          <w:szCs w:val="28"/>
        </w:rPr>
        <w:t>〕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号</w:t>
      </w:r>
    </w:p>
    <w:p>
      <w:pPr>
        <w:spacing w:before="312" w:after="312" w:line="56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第一章</w:t>
      </w:r>
      <w:r>
        <w:rPr>
          <w:rFonts w:ascii="黑体" w:eastAsia="黑体" w:cs="黑体"/>
          <w:b/>
          <w:bCs/>
          <w:sz w:val="28"/>
          <w:szCs w:val="28"/>
        </w:rPr>
        <w:t xml:space="preserve">  </w:t>
      </w:r>
      <w:r>
        <w:rPr>
          <w:rFonts w:hint="eastAsia" w:ascii="黑体" w:eastAsia="黑体" w:cs="黑体"/>
          <w:b/>
          <w:bCs/>
          <w:sz w:val="28"/>
          <w:szCs w:val="28"/>
        </w:rPr>
        <w:t>总</w:t>
      </w:r>
      <w:r>
        <w:rPr>
          <w:rFonts w:ascii="黑体" w:eastAsia="黑体" w:cs="黑体"/>
          <w:b/>
          <w:bCs/>
          <w:sz w:val="28"/>
          <w:szCs w:val="28"/>
        </w:rPr>
        <w:t xml:space="preserve">    </w:t>
      </w:r>
      <w:r>
        <w:rPr>
          <w:rFonts w:hint="eastAsia" w:ascii="黑体" w:eastAsia="黑体" w:cs="黑体"/>
          <w:b/>
          <w:bCs/>
          <w:sz w:val="28"/>
          <w:szCs w:val="28"/>
        </w:rPr>
        <w:t>则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黑体" w:cs="黑体"/>
          <w:b/>
          <w:bCs/>
          <w:sz w:val="28"/>
          <w:szCs w:val="28"/>
        </w:rPr>
        <w:t>第一条</w:t>
      </w:r>
      <w:r>
        <w:rPr>
          <w:rFonts w:eastAsia="仿宋_GB2312"/>
          <w:sz w:val="28"/>
          <w:szCs w:val="28"/>
        </w:rPr>
        <w:t xml:space="preserve">  </w:t>
      </w:r>
      <w:bookmarkStart w:id="0" w:name="OLE_LINK7"/>
      <w:bookmarkStart w:id="1" w:name="OLE_LINK8"/>
      <w:r>
        <w:rPr>
          <w:rFonts w:hint="eastAsia" w:eastAsia="仿宋_GB2312" w:cs="仿宋_GB2312"/>
          <w:sz w:val="28"/>
          <w:szCs w:val="28"/>
        </w:rPr>
        <w:t>为推动我院科学技术研究面向国家地方需求、经济社会发展，鼓励在服务国民经济、社会发展、社会公益等科技创新活动中做出重要贡献的集体，特设立中国科学院科技促进发展奖</w:t>
      </w:r>
      <w:bookmarkEnd w:id="0"/>
      <w:bookmarkEnd w:id="1"/>
      <w:r>
        <w:rPr>
          <w:rFonts w:hint="eastAsia" w:eastAsia="仿宋_GB2312" w:cs="仿宋_GB2312"/>
          <w:sz w:val="28"/>
          <w:szCs w:val="28"/>
        </w:rPr>
        <w:t>（以下简称“科技促进发展奖”）。</w:t>
      </w:r>
    </w:p>
    <w:p>
      <w:pPr>
        <w:spacing w:line="560" w:lineRule="exact"/>
        <w:rPr>
          <w:rFonts w:eastAsia="仿宋_GB2312"/>
          <w:b/>
          <w:bCs/>
          <w:color w:val="FF000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</w:t>
      </w:r>
      <w:r>
        <w:rPr>
          <w:rFonts w:hint="eastAsia" w:eastAsia="黑体" w:cs="黑体"/>
          <w:b/>
          <w:bCs/>
          <w:sz w:val="28"/>
          <w:szCs w:val="28"/>
        </w:rPr>
        <w:t>第二条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科技促进发展奖分为优秀成果奖和优秀管理奖两类，每年评选一次。每次授奖总数原则不超过</w:t>
      </w:r>
      <w:r>
        <w:rPr>
          <w:rFonts w:eastAsia="仿宋_GB2312"/>
          <w:sz w:val="28"/>
          <w:szCs w:val="28"/>
        </w:rPr>
        <w:t>30</w:t>
      </w:r>
      <w:r>
        <w:rPr>
          <w:rFonts w:hint="eastAsia" w:eastAsia="仿宋_GB2312" w:cs="仿宋_GB2312"/>
          <w:sz w:val="28"/>
          <w:szCs w:val="28"/>
        </w:rPr>
        <w:t>项，其中优秀成果奖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 w:cs="仿宋_GB2312"/>
          <w:sz w:val="28"/>
          <w:szCs w:val="28"/>
        </w:rPr>
        <w:t>项，设一等奖和二等奖，一等奖每年不超过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 w:cs="仿宋_GB2312"/>
          <w:sz w:val="28"/>
          <w:szCs w:val="28"/>
        </w:rPr>
        <w:t>项；优秀管理奖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 w:cs="仿宋_GB2312"/>
          <w:sz w:val="28"/>
          <w:szCs w:val="28"/>
        </w:rPr>
        <w:t>项。</w:t>
      </w:r>
    </w:p>
    <w:p>
      <w:pPr>
        <w:spacing w:line="560" w:lineRule="exact"/>
        <w:ind w:firstLine="538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第三条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评审与授奖坚持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 w:cs="仿宋_GB2312"/>
          <w:sz w:val="28"/>
          <w:szCs w:val="28"/>
        </w:rPr>
        <w:t>目标导向、鼓励先进、客观公正、注重实效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 w:cs="仿宋_GB2312"/>
          <w:sz w:val="28"/>
          <w:szCs w:val="28"/>
        </w:rPr>
        <w:t>的原则，接受社会监督。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黑体" w:cs="黑体"/>
          <w:b/>
          <w:bCs/>
          <w:sz w:val="28"/>
          <w:szCs w:val="28"/>
        </w:rPr>
        <w:t>第四条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评奖的组织管理工作由科技促进发展局负责。</w:t>
      </w:r>
    </w:p>
    <w:p>
      <w:pPr>
        <w:spacing w:before="312" w:after="312"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第二章</w:t>
      </w:r>
      <w:r>
        <w:rPr>
          <w:rFonts w:eastAsia="黑体"/>
          <w:b/>
          <w:bCs/>
          <w:sz w:val="28"/>
          <w:szCs w:val="28"/>
        </w:rPr>
        <w:t xml:space="preserve">   </w:t>
      </w:r>
      <w:r>
        <w:rPr>
          <w:rFonts w:hint="eastAsia" w:eastAsia="黑体" w:cs="黑体"/>
          <w:b/>
          <w:bCs/>
          <w:sz w:val="28"/>
          <w:szCs w:val="28"/>
        </w:rPr>
        <w:t>奖励范围与评审标准</w:t>
      </w:r>
    </w:p>
    <w:p>
      <w:pPr>
        <w:spacing w:line="560" w:lineRule="exact"/>
        <w:ind w:firstLine="538"/>
        <w:rPr>
          <w:rFonts w:eastAsia="仿宋_GB2312"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第五条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科技促进发展奖授予院属单位（含共建单位）在科技促进经济社会发展活动中做出重要贡献的集体。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560" w:lineRule="exact"/>
        <w:ind w:firstLine="540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第六条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优秀成果奖获得者是指院属法人单位、非法人中心（如转移转化中心、工程实验室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 w:cs="仿宋_GB2312"/>
          <w:sz w:val="28"/>
          <w:szCs w:val="28"/>
        </w:rPr>
        <w:t>中心等）在成果产生与转移转化过程中形成的集体，应满足如下条件之一：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（一）在技术进步、突破核心关键技术、产生重大技术发明以及集成创新等方面取得重要成果，并推动该成果转移转化和实现规模产业化，为国家、区域和行业经济发展做出实质性重要贡献，并创造显著经济效益和社会效益。</w:t>
      </w:r>
    </w:p>
    <w:p>
      <w:pPr>
        <w:spacing w:line="560" w:lineRule="exact"/>
        <w:ind w:firstLine="31680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（二）在促进国家、地方或区域可持续发展的公益性科技活动中，做出重大贡献，或提出重要的咨询报告和建议被国家和地方政府或有关部门采纳，创造显著的经济或社会效益。</w:t>
      </w:r>
    </w:p>
    <w:p>
      <w:pPr>
        <w:spacing w:line="560" w:lineRule="exact"/>
        <w:ind w:firstLine="3168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第七条</w:t>
      </w:r>
      <w:r>
        <w:rPr>
          <w:rFonts w:ascii="黑体" w:eastAsia="黑体" w:cs="黑体"/>
          <w:b/>
          <w:bCs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优秀管理奖获得者是</w:t>
      </w:r>
      <w:bookmarkStart w:id="2" w:name="OLE_LINK3"/>
      <w:bookmarkStart w:id="3" w:name="OLE_LINK4"/>
      <w:r>
        <w:rPr>
          <w:rFonts w:hint="eastAsia" w:eastAsia="仿宋_GB2312" w:cs="仿宋_GB2312"/>
          <w:sz w:val="28"/>
          <w:szCs w:val="28"/>
        </w:rPr>
        <w:t>指在成果转移转化工作中表现突出的管理</w:t>
      </w:r>
      <w:bookmarkEnd w:id="2"/>
      <w:bookmarkEnd w:id="3"/>
      <w:r>
        <w:rPr>
          <w:rFonts w:hint="eastAsia" w:eastAsia="仿宋_GB2312" w:cs="仿宋_GB2312"/>
          <w:sz w:val="28"/>
          <w:szCs w:val="28"/>
        </w:rPr>
        <w:t>集体（</w:t>
      </w:r>
      <w:bookmarkStart w:id="4" w:name="OLE_LINK5"/>
      <w:bookmarkStart w:id="5" w:name="OLE_LINK6"/>
      <w:r>
        <w:rPr>
          <w:rFonts w:hint="eastAsia" w:eastAsia="仿宋_GB2312" w:cs="仿宋_GB2312"/>
          <w:sz w:val="28"/>
          <w:szCs w:val="28"/>
        </w:rPr>
        <w:t>如各单位产业处、科技处、知识产权处等的部分或全部成员，或在管理过程中形成的自然人群体等</w:t>
      </w:r>
      <w:bookmarkEnd w:id="4"/>
      <w:bookmarkEnd w:id="5"/>
      <w:r>
        <w:rPr>
          <w:rFonts w:hint="eastAsia" w:eastAsia="仿宋_GB2312" w:cs="仿宋_GB2312"/>
          <w:sz w:val="28"/>
          <w:szCs w:val="28"/>
        </w:rPr>
        <w:t>），应满足条件：在推进重大突破、院部合作、院省合作、院与行业或企业合作、创新联盟建设等协同创新重点任务管理工作中，做出实质性突出贡献。</w:t>
      </w:r>
    </w:p>
    <w:p>
      <w:pPr>
        <w:spacing w:before="312" w:after="312"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第三章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eastAsia="黑体" w:cs="黑体"/>
          <w:b/>
          <w:bCs/>
          <w:sz w:val="28"/>
          <w:szCs w:val="28"/>
        </w:rPr>
        <w:t>推荐、评审与授予</w:t>
      </w:r>
    </w:p>
    <w:p>
      <w:pPr>
        <w:spacing w:line="560" w:lineRule="exact"/>
        <w:ind w:firstLine="570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第八条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科技促进发展奖的候选者由院属单位（含共建单位）、各分院推荐。</w:t>
      </w:r>
    </w:p>
    <w:p>
      <w:pPr>
        <w:spacing w:line="560" w:lineRule="exact"/>
        <w:ind w:firstLine="540"/>
        <w:rPr>
          <w:rFonts w:ascii="仿宋_GB2312" w:eastAsia="黑体"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第九条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推荐单位按规定格式填写《</w:t>
      </w:r>
      <w:r>
        <w:rPr>
          <w:rFonts w:hint="eastAsia" w:eastAsia="仿宋_GB2312" w:cs="仿宋_GB2312"/>
          <w:sz w:val="28"/>
          <w:szCs w:val="28"/>
        </w:rPr>
        <w:t>中国科学院科技促进发展奖推荐书》并提供相应的材料，在规定时间内报送。</w:t>
      </w:r>
    </w:p>
    <w:p>
      <w:pPr>
        <w:spacing w:line="560" w:lineRule="exact"/>
        <w:ind w:firstLine="538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第十条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科技促进发展局负责科技促进发展奖的推荐受理、资格审查和初评工作；监察审计局负责</w:t>
      </w:r>
      <w:bookmarkStart w:id="6" w:name="OLE_LINK1"/>
      <w:bookmarkStart w:id="7" w:name="OLE_LINK2"/>
      <w:r>
        <w:rPr>
          <w:rFonts w:hint="eastAsia" w:eastAsia="仿宋_GB2312" w:cs="仿宋_GB2312"/>
          <w:sz w:val="28"/>
          <w:szCs w:val="28"/>
        </w:rPr>
        <w:t>对推荐候选集体组成人员进行廉洁自律情况审查</w:t>
      </w:r>
      <w:bookmarkEnd w:id="6"/>
      <w:bookmarkEnd w:id="7"/>
      <w:r>
        <w:rPr>
          <w:rFonts w:hint="eastAsia" w:eastAsia="仿宋_GB2312" w:cs="仿宋_GB2312"/>
          <w:sz w:val="28"/>
          <w:szCs w:val="28"/>
        </w:rPr>
        <w:t>。</w:t>
      </w:r>
    </w:p>
    <w:p>
      <w:pPr>
        <w:spacing w:line="560" w:lineRule="exact"/>
        <w:ind w:left="-181" w:firstLine="734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第十一条</w:t>
      </w:r>
      <w:r>
        <w:rPr>
          <w:rFonts w:ascii="黑体" w:eastAsia="黑体" w:cs="黑体"/>
          <w:b/>
          <w:bCs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科技促进发展局汇总初评结果，通过一定形式向社会公布，受理异议并进行核实处理。</w:t>
      </w:r>
    </w:p>
    <w:p>
      <w:pPr>
        <w:spacing w:line="560" w:lineRule="exact"/>
        <w:ind w:left="-181" w:firstLine="734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第十二条</w:t>
      </w:r>
      <w:r>
        <w:rPr>
          <w:rFonts w:ascii="黑体" w:eastAsia="黑体" w:cs="黑体"/>
          <w:b/>
          <w:bCs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设立专家评审组，评审组专家人选由科技促进发展局提出，报主管院领导审批。通过初评的候选集体需现场答辩，评审组进行评议投票确定获奖集体建议名单。</w:t>
      </w:r>
    </w:p>
    <w:p>
      <w:pPr>
        <w:spacing w:line="560" w:lineRule="exact"/>
        <w:ind w:left="-181" w:firstLine="734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第十三条</w:t>
      </w:r>
      <w:r>
        <w:rPr>
          <w:rFonts w:ascii="黑体" w:eastAsia="黑体" w:cs="黑体"/>
          <w:b/>
          <w:bCs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院长办公会议对建议名单进行审批，确定院科技促进发展奖最终获得者。</w:t>
      </w:r>
    </w:p>
    <w:p>
      <w:pPr>
        <w:spacing w:line="560" w:lineRule="exact"/>
        <w:ind w:left="-181" w:firstLine="734"/>
        <w:rPr>
          <w:rFonts w:eastAsia="仿宋_GB2312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第十四条</w:t>
      </w:r>
      <w:r>
        <w:rPr>
          <w:rFonts w:ascii="黑体" w:eastAsia="黑体" w:cs="黑体"/>
          <w:b/>
          <w:bCs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科技促进发展奖获得者将获得由中国科学院颁发的奖励证书、奖杯、奖章及相应的奖金。</w:t>
      </w:r>
    </w:p>
    <w:p>
      <w:pPr>
        <w:spacing w:before="312" w:after="312"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第四章</w:t>
      </w:r>
      <w:r>
        <w:rPr>
          <w:rFonts w:eastAsia="黑体"/>
          <w:b/>
          <w:bCs/>
          <w:sz w:val="28"/>
          <w:szCs w:val="28"/>
        </w:rPr>
        <w:t xml:space="preserve">   </w:t>
      </w:r>
      <w:r>
        <w:rPr>
          <w:rFonts w:hint="eastAsia" w:eastAsia="黑体" w:cs="黑体"/>
          <w:b/>
          <w:bCs/>
          <w:sz w:val="28"/>
          <w:szCs w:val="28"/>
        </w:rPr>
        <w:t>罚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则</w:t>
      </w:r>
    </w:p>
    <w:p>
      <w:pPr>
        <w:spacing w:line="560" w:lineRule="exact"/>
        <w:ind w:firstLine="630"/>
        <w:rPr>
          <w:rFonts w:eastAsia="仿宋_GB2312"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第十五条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对于弄虚作假骗取科技促进发展奖的，一经查实，院将撤销奖励，追回奖励证书、奖章及奖金，并对有关单位和当事人予以通报批评或相应的行政处分。</w:t>
      </w:r>
    </w:p>
    <w:p>
      <w:pPr>
        <w:spacing w:line="560" w:lineRule="exact"/>
        <w:ind w:firstLine="630"/>
        <w:rPr>
          <w:rFonts w:eastAsia="仿宋_GB2312"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第十六条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参与科技促进发展奖评审工作的有关人员，在评审活动中弄虚作假，徇私舞弊，一经查实，院将予以批评直至必要的行政处分。</w:t>
      </w:r>
    </w:p>
    <w:p>
      <w:pPr>
        <w:spacing w:before="312" w:after="312"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第五章</w:t>
      </w:r>
      <w:r>
        <w:rPr>
          <w:rFonts w:eastAsia="黑体"/>
          <w:b/>
          <w:bCs/>
          <w:sz w:val="28"/>
          <w:szCs w:val="28"/>
        </w:rPr>
        <w:t xml:space="preserve">    </w:t>
      </w:r>
      <w:r>
        <w:rPr>
          <w:rFonts w:hint="eastAsia" w:eastAsia="黑体" w:cs="黑体"/>
          <w:b/>
          <w:bCs/>
          <w:sz w:val="28"/>
          <w:szCs w:val="28"/>
        </w:rPr>
        <w:t>附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则</w:t>
      </w:r>
    </w:p>
    <w:p>
      <w:pPr>
        <w:spacing w:line="560" w:lineRule="exact"/>
        <w:ind w:firstLine="31680" w:firstLineChars="200"/>
        <w:rPr>
          <w:rFonts w:eastAsia="仿宋_GB2312"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第十七条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本办法自公布之日起施行。《中国科学院院地合作奖励管理办法》（科发院地字〔</w:t>
      </w:r>
      <w:r>
        <w:rPr>
          <w:rFonts w:eastAsia="仿宋_GB2312"/>
          <w:sz w:val="28"/>
          <w:szCs w:val="28"/>
        </w:rPr>
        <w:t>2008</w:t>
      </w:r>
      <w:r>
        <w:rPr>
          <w:rFonts w:hint="eastAsia" w:eastAsia="仿宋_GB2312" w:cs="仿宋_GB2312"/>
          <w:sz w:val="28"/>
          <w:szCs w:val="28"/>
        </w:rPr>
        <w:t>〕</w:t>
      </w:r>
      <w:r>
        <w:rPr>
          <w:rFonts w:eastAsia="仿宋_GB2312"/>
          <w:sz w:val="28"/>
          <w:szCs w:val="28"/>
        </w:rPr>
        <w:t>191</w:t>
      </w:r>
      <w:r>
        <w:rPr>
          <w:rFonts w:hint="eastAsia" w:eastAsia="仿宋_GB2312" w:cs="仿宋_GB2312"/>
          <w:sz w:val="28"/>
          <w:szCs w:val="28"/>
        </w:rPr>
        <w:t>号）同时废止。</w:t>
      </w:r>
      <w:r>
        <w:rPr>
          <w:rFonts w:eastAsia="仿宋_GB2312"/>
          <w:sz w:val="28"/>
          <w:szCs w:val="28"/>
        </w:rPr>
        <w:t xml:space="preserve">   </w:t>
      </w:r>
    </w:p>
    <w:p>
      <w:pPr>
        <w:spacing w:line="560" w:lineRule="exact"/>
        <w:ind w:firstLine="31680" w:firstLineChars="200"/>
        <w:rPr>
          <w:rFonts w:eastAsia="仿宋_GB2312"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第十八条</w:t>
      </w:r>
      <w:r>
        <w:rPr>
          <w:rFonts w:eastAsia="黑体"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本办法由科技促进发展局负责解释。</w:t>
      </w:r>
    </w:p>
    <w:p>
      <w:pPr>
        <w:spacing w:line="560" w:lineRule="exact"/>
        <w:rPr>
          <w:rFonts w:eastAsia="仿宋_GB2312"/>
          <w:sz w:val="28"/>
          <w:szCs w:val="28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7F"/>
    <w:rsid w:val="000029EC"/>
    <w:rsid w:val="000205EB"/>
    <w:rsid w:val="0002181D"/>
    <w:rsid w:val="00053C4C"/>
    <w:rsid w:val="00067CFC"/>
    <w:rsid w:val="000754E4"/>
    <w:rsid w:val="000A6D32"/>
    <w:rsid w:val="000E3C7F"/>
    <w:rsid w:val="000E62C2"/>
    <w:rsid w:val="000E6726"/>
    <w:rsid w:val="000F0D12"/>
    <w:rsid w:val="000F1AEF"/>
    <w:rsid w:val="000F681D"/>
    <w:rsid w:val="001167D9"/>
    <w:rsid w:val="00140674"/>
    <w:rsid w:val="00150716"/>
    <w:rsid w:val="001516ED"/>
    <w:rsid w:val="001A64B3"/>
    <w:rsid w:val="001D038C"/>
    <w:rsid w:val="001E7B28"/>
    <w:rsid w:val="002115DD"/>
    <w:rsid w:val="00211F8F"/>
    <w:rsid w:val="00240538"/>
    <w:rsid w:val="00241326"/>
    <w:rsid w:val="00265C1D"/>
    <w:rsid w:val="00274687"/>
    <w:rsid w:val="00277091"/>
    <w:rsid w:val="003247A2"/>
    <w:rsid w:val="0033579A"/>
    <w:rsid w:val="00361AEC"/>
    <w:rsid w:val="00366344"/>
    <w:rsid w:val="00392800"/>
    <w:rsid w:val="003C6B6E"/>
    <w:rsid w:val="003D116C"/>
    <w:rsid w:val="003E109B"/>
    <w:rsid w:val="003F26FB"/>
    <w:rsid w:val="00410DC6"/>
    <w:rsid w:val="00413476"/>
    <w:rsid w:val="00430455"/>
    <w:rsid w:val="00437B5A"/>
    <w:rsid w:val="004426F7"/>
    <w:rsid w:val="0046581B"/>
    <w:rsid w:val="0047587B"/>
    <w:rsid w:val="00476F68"/>
    <w:rsid w:val="00480B0C"/>
    <w:rsid w:val="00497F55"/>
    <w:rsid w:val="004D405F"/>
    <w:rsid w:val="004E55CC"/>
    <w:rsid w:val="005052A5"/>
    <w:rsid w:val="005174C8"/>
    <w:rsid w:val="005272DE"/>
    <w:rsid w:val="00571409"/>
    <w:rsid w:val="00580A2D"/>
    <w:rsid w:val="005814F6"/>
    <w:rsid w:val="00592A4F"/>
    <w:rsid w:val="005A625B"/>
    <w:rsid w:val="005A7ECC"/>
    <w:rsid w:val="005E6071"/>
    <w:rsid w:val="005F0770"/>
    <w:rsid w:val="005F2AD7"/>
    <w:rsid w:val="00631598"/>
    <w:rsid w:val="00640176"/>
    <w:rsid w:val="00644946"/>
    <w:rsid w:val="0067319F"/>
    <w:rsid w:val="006B6D2B"/>
    <w:rsid w:val="006F7DCE"/>
    <w:rsid w:val="007136D6"/>
    <w:rsid w:val="007212AA"/>
    <w:rsid w:val="007D12E3"/>
    <w:rsid w:val="00880A9E"/>
    <w:rsid w:val="0089549E"/>
    <w:rsid w:val="008B1554"/>
    <w:rsid w:val="008B7755"/>
    <w:rsid w:val="008D58D0"/>
    <w:rsid w:val="008E2E72"/>
    <w:rsid w:val="00904185"/>
    <w:rsid w:val="009361BD"/>
    <w:rsid w:val="009436DF"/>
    <w:rsid w:val="00956D15"/>
    <w:rsid w:val="00987FAE"/>
    <w:rsid w:val="00993CC8"/>
    <w:rsid w:val="009A4E6E"/>
    <w:rsid w:val="009A5415"/>
    <w:rsid w:val="009A724B"/>
    <w:rsid w:val="00A00C3D"/>
    <w:rsid w:val="00A21291"/>
    <w:rsid w:val="00A329C5"/>
    <w:rsid w:val="00A5350A"/>
    <w:rsid w:val="00A85F4C"/>
    <w:rsid w:val="00AA1C84"/>
    <w:rsid w:val="00AD61D0"/>
    <w:rsid w:val="00AE3EF5"/>
    <w:rsid w:val="00B112E2"/>
    <w:rsid w:val="00B1205C"/>
    <w:rsid w:val="00B20617"/>
    <w:rsid w:val="00B25A9C"/>
    <w:rsid w:val="00B301D0"/>
    <w:rsid w:val="00B61D29"/>
    <w:rsid w:val="00B704B1"/>
    <w:rsid w:val="00BA7149"/>
    <w:rsid w:val="00BB2437"/>
    <w:rsid w:val="00BD4FD1"/>
    <w:rsid w:val="00BE129C"/>
    <w:rsid w:val="00BE3F82"/>
    <w:rsid w:val="00BE6A79"/>
    <w:rsid w:val="00BE6C8A"/>
    <w:rsid w:val="00C02F9A"/>
    <w:rsid w:val="00C03A69"/>
    <w:rsid w:val="00C13F3C"/>
    <w:rsid w:val="00C17A82"/>
    <w:rsid w:val="00C54089"/>
    <w:rsid w:val="00C540AA"/>
    <w:rsid w:val="00C65FF1"/>
    <w:rsid w:val="00C76C7C"/>
    <w:rsid w:val="00CA68FB"/>
    <w:rsid w:val="00CB13CD"/>
    <w:rsid w:val="00CD54B3"/>
    <w:rsid w:val="00D22C13"/>
    <w:rsid w:val="00D426B4"/>
    <w:rsid w:val="00D435A3"/>
    <w:rsid w:val="00D45E5C"/>
    <w:rsid w:val="00E3324B"/>
    <w:rsid w:val="00E575DD"/>
    <w:rsid w:val="00E70F30"/>
    <w:rsid w:val="00EB5EF0"/>
    <w:rsid w:val="00EC24C7"/>
    <w:rsid w:val="00ED79B1"/>
    <w:rsid w:val="00F1508D"/>
    <w:rsid w:val="00F30133"/>
    <w:rsid w:val="00F66042"/>
    <w:rsid w:val="00F81382"/>
    <w:rsid w:val="00F817EE"/>
    <w:rsid w:val="00FA4E98"/>
    <w:rsid w:val="00FB1E35"/>
    <w:rsid w:val="00FF7C33"/>
    <w:rsid w:val="56246D9C"/>
    <w:rsid w:val="582268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qFormat/>
    <w:uiPriority w:val="99"/>
    <w:rPr>
      <w:b/>
      <w:bCs/>
    </w:r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Body Text"/>
    <w:basedOn w:val="1"/>
    <w:link w:val="15"/>
    <w:qFormat/>
    <w:uiPriority w:val="99"/>
    <w:pPr>
      <w:ind w:right="24"/>
    </w:pPr>
    <w:rPr>
      <w:sz w:val="28"/>
      <w:szCs w:val="28"/>
    </w:rPr>
  </w:style>
  <w:style w:type="paragraph" w:styleId="5">
    <w:name w:val="Body Text Indent"/>
    <w:basedOn w:val="1"/>
    <w:link w:val="14"/>
    <w:uiPriority w:val="99"/>
    <w:pPr>
      <w:ind w:left="1050" w:hanging="1050"/>
    </w:pPr>
    <w:rPr>
      <w:sz w:val="32"/>
      <w:szCs w:val="32"/>
    </w:r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semiHidden/>
    <w:qFormat/>
    <w:uiPriority w:val="99"/>
    <w:rPr>
      <w:sz w:val="21"/>
      <w:szCs w:val="21"/>
    </w:rPr>
  </w:style>
  <w:style w:type="character" w:customStyle="1" w:styleId="14">
    <w:name w:val="Body Text Indent Char"/>
    <w:basedOn w:val="10"/>
    <w:link w:val="5"/>
    <w:semiHidden/>
    <w:qFormat/>
    <w:locked/>
    <w:uiPriority w:val="99"/>
    <w:rPr>
      <w:sz w:val="21"/>
      <w:szCs w:val="21"/>
    </w:rPr>
  </w:style>
  <w:style w:type="character" w:customStyle="1" w:styleId="15">
    <w:name w:val="Body Text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6">
    <w:name w:val="Header Char"/>
    <w:basedOn w:val="10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Footer Char"/>
    <w:basedOn w:val="10"/>
    <w:link w:val="7"/>
    <w:qFormat/>
    <w:locked/>
    <w:uiPriority w:val="99"/>
    <w:rPr>
      <w:kern w:val="2"/>
      <w:sz w:val="18"/>
      <w:szCs w:val="18"/>
    </w:rPr>
  </w:style>
  <w:style w:type="character" w:customStyle="1" w:styleId="18">
    <w:name w:val="Balloon Text Char"/>
    <w:basedOn w:val="10"/>
    <w:link w:val="6"/>
    <w:qFormat/>
    <w:locked/>
    <w:uiPriority w:val="99"/>
    <w:rPr>
      <w:kern w:val="2"/>
      <w:sz w:val="18"/>
      <w:szCs w:val="18"/>
    </w:rPr>
  </w:style>
  <w:style w:type="character" w:customStyle="1" w:styleId="19">
    <w:name w:val="Comment Text Char"/>
    <w:basedOn w:val="10"/>
    <w:link w:val="3"/>
    <w:qFormat/>
    <w:locked/>
    <w:uiPriority w:val="99"/>
    <w:rPr>
      <w:kern w:val="2"/>
      <w:sz w:val="21"/>
      <w:szCs w:val="21"/>
    </w:rPr>
  </w:style>
  <w:style w:type="character" w:customStyle="1" w:styleId="20">
    <w:name w:val="Comment Subject Char"/>
    <w:basedOn w:val="19"/>
    <w:link w:val="2"/>
    <w:qFormat/>
    <w:locked/>
    <w:uiPriority w:val="99"/>
    <w:rPr>
      <w:b/>
      <w:bCs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cashq</Company>
  <Pages>3</Pages>
  <Words>210</Words>
  <Characters>1202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2016-02-26T08:47:00Z</dcterms:created>
  <dc:creator>牛栋</dc:creator>
  <cp:lastModifiedBy>盖敏强</cp:lastModifiedBy>
  <cp:lastPrinted>2015-05-07T01:55:00Z</cp:lastPrinted>
  <dcterms:modified xsi:type="dcterms:W3CDTF">2017-04-01T02:38:04Z</dcterms:modified>
  <dc:title>关于颁布《中国科学院推荐国家科学技术奖暂行办法》的通知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